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D490" w14:textId="77777777" w:rsidR="00DB667C" w:rsidRPr="00DB667C" w:rsidRDefault="00DB667C" w:rsidP="00DB667C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B667C">
        <w:rPr>
          <w:rFonts w:ascii="標楷體" w:eastAsia="標楷體" w:hAnsi="標楷體" w:hint="eastAsia"/>
          <w:b/>
          <w:kern w:val="0"/>
          <w:sz w:val="28"/>
          <w:szCs w:val="28"/>
        </w:rPr>
        <w:t>臺北市立大學</w:t>
      </w:r>
      <w:r w:rsidRPr="00DB667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地球環境暨生物資源學系(含環境教育與資源碩士班)</w:t>
      </w:r>
    </w:p>
    <w:p w14:paraId="5567AA20" w14:textId="3EA5E148" w:rsidR="00A20F1E" w:rsidRDefault="00DB667C" w:rsidP="00DB667C">
      <w:pPr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B667C">
        <w:rPr>
          <w:rFonts w:ascii="標楷體" w:eastAsia="標楷體" w:hAnsi="標楷體"/>
          <w:b/>
          <w:kern w:val="0"/>
          <w:sz w:val="28"/>
          <w:szCs w:val="28"/>
        </w:rPr>
        <w:t>教師聘任與升等審查</w:t>
      </w:r>
      <w:r w:rsidRPr="00DB667C">
        <w:rPr>
          <w:rFonts w:ascii="標楷體" w:eastAsia="標楷體" w:hAnsi="標楷體" w:hint="eastAsia"/>
          <w:b/>
          <w:kern w:val="0"/>
          <w:sz w:val="28"/>
          <w:szCs w:val="28"/>
        </w:rPr>
        <w:t>要點</w:t>
      </w:r>
    </w:p>
    <w:p w14:paraId="6DFECFC7" w14:textId="77777777" w:rsidR="00DB667C" w:rsidRDefault="00DB667C" w:rsidP="00DB667C">
      <w:pPr>
        <w:snapToGrid w:val="0"/>
        <w:spacing w:line="240" w:lineRule="atLeast"/>
        <w:jc w:val="right"/>
        <w:rPr>
          <w:sz w:val="16"/>
          <w:szCs w:val="16"/>
        </w:rPr>
      </w:pPr>
    </w:p>
    <w:p w14:paraId="2C719B89" w14:textId="3A446C62" w:rsidR="00DB667C" w:rsidRPr="00DB667C" w:rsidRDefault="00DB667C" w:rsidP="00DB667C">
      <w:pPr>
        <w:snapToGrid w:val="0"/>
        <w:spacing w:line="240" w:lineRule="atLeast"/>
        <w:jc w:val="right"/>
        <w:rPr>
          <w:sz w:val="16"/>
          <w:szCs w:val="16"/>
        </w:rPr>
      </w:pPr>
      <w:r w:rsidRPr="00DB667C">
        <w:rPr>
          <w:sz w:val="16"/>
          <w:szCs w:val="16"/>
        </w:rPr>
        <w:t xml:space="preserve"> </w:t>
      </w:r>
      <w:r w:rsidRPr="00DB667C">
        <w:rPr>
          <w:rFonts w:hint="eastAsia"/>
          <w:sz w:val="16"/>
          <w:szCs w:val="16"/>
        </w:rPr>
        <w:t>2015</w:t>
      </w:r>
      <w:r w:rsidRPr="00DB667C">
        <w:rPr>
          <w:rFonts w:hint="eastAsia"/>
          <w:sz w:val="16"/>
          <w:szCs w:val="16"/>
        </w:rPr>
        <w:t>年</w:t>
      </w:r>
      <w:r w:rsidRPr="00DB667C">
        <w:rPr>
          <w:rFonts w:hint="eastAsia"/>
          <w:sz w:val="16"/>
          <w:szCs w:val="16"/>
        </w:rPr>
        <w:t>11</w:t>
      </w:r>
      <w:r w:rsidRPr="00DB667C">
        <w:rPr>
          <w:rFonts w:hint="eastAsia"/>
          <w:sz w:val="16"/>
          <w:szCs w:val="16"/>
        </w:rPr>
        <w:t>月</w:t>
      </w:r>
      <w:r w:rsidRPr="00DB667C">
        <w:rPr>
          <w:rFonts w:hint="eastAsia"/>
          <w:sz w:val="16"/>
          <w:szCs w:val="16"/>
        </w:rPr>
        <w:t>4</w:t>
      </w:r>
      <w:r w:rsidRPr="00DB667C">
        <w:rPr>
          <w:rFonts w:hint="eastAsia"/>
          <w:sz w:val="16"/>
          <w:szCs w:val="16"/>
        </w:rPr>
        <w:t>日</w:t>
      </w:r>
      <w:r w:rsidRPr="00DB667C">
        <w:rPr>
          <w:rFonts w:hint="eastAsia"/>
          <w:sz w:val="16"/>
          <w:szCs w:val="16"/>
        </w:rPr>
        <w:t xml:space="preserve"> 104</w:t>
      </w:r>
      <w:r w:rsidRPr="00DB667C">
        <w:rPr>
          <w:rFonts w:hint="eastAsia"/>
          <w:sz w:val="16"/>
          <w:szCs w:val="16"/>
        </w:rPr>
        <w:t>學年度第</w:t>
      </w:r>
      <w:r w:rsidRPr="00DB667C">
        <w:rPr>
          <w:rFonts w:hint="eastAsia"/>
          <w:sz w:val="16"/>
          <w:szCs w:val="16"/>
        </w:rPr>
        <w:t>3</w:t>
      </w:r>
      <w:r w:rsidRPr="00DB667C">
        <w:rPr>
          <w:rFonts w:hint="eastAsia"/>
          <w:sz w:val="16"/>
          <w:szCs w:val="16"/>
        </w:rPr>
        <w:t>次系</w:t>
      </w:r>
      <w:proofErr w:type="gramStart"/>
      <w:r w:rsidRPr="00DB667C">
        <w:rPr>
          <w:rFonts w:hint="eastAsia"/>
          <w:sz w:val="16"/>
          <w:szCs w:val="16"/>
        </w:rPr>
        <w:t>務</w:t>
      </w:r>
      <w:proofErr w:type="gramEnd"/>
      <w:r w:rsidRPr="00DB667C">
        <w:rPr>
          <w:rFonts w:hint="eastAsia"/>
          <w:sz w:val="16"/>
          <w:szCs w:val="16"/>
        </w:rPr>
        <w:t>會議通過</w:t>
      </w:r>
    </w:p>
    <w:p w14:paraId="4AEA6BCD" w14:textId="0AE717D9" w:rsidR="00DB667C" w:rsidRDefault="00DB667C" w:rsidP="00DB667C">
      <w:pPr>
        <w:snapToGrid w:val="0"/>
        <w:spacing w:line="240" w:lineRule="atLeast"/>
        <w:jc w:val="right"/>
        <w:rPr>
          <w:sz w:val="16"/>
          <w:szCs w:val="16"/>
        </w:rPr>
      </w:pPr>
      <w:r w:rsidRPr="00DB667C">
        <w:rPr>
          <w:sz w:val="16"/>
          <w:szCs w:val="16"/>
        </w:rPr>
        <w:t>1</w:t>
      </w:r>
      <w:r w:rsidRPr="00DB667C">
        <w:rPr>
          <w:rFonts w:hint="eastAsia"/>
          <w:sz w:val="16"/>
          <w:szCs w:val="16"/>
        </w:rPr>
        <w:t>12</w:t>
      </w:r>
      <w:r w:rsidRPr="00DB667C">
        <w:rPr>
          <w:rFonts w:hint="eastAsia"/>
          <w:sz w:val="16"/>
          <w:szCs w:val="16"/>
        </w:rPr>
        <w:t>年</w:t>
      </w:r>
      <w:r w:rsidRPr="00DB667C">
        <w:rPr>
          <w:rFonts w:hint="eastAsia"/>
          <w:sz w:val="16"/>
          <w:szCs w:val="16"/>
        </w:rPr>
        <w:t>12</w:t>
      </w:r>
      <w:r w:rsidRPr="00DB667C">
        <w:rPr>
          <w:rFonts w:hint="eastAsia"/>
          <w:sz w:val="16"/>
          <w:szCs w:val="16"/>
        </w:rPr>
        <w:t>月</w:t>
      </w:r>
      <w:r w:rsidRPr="00DB667C">
        <w:rPr>
          <w:rFonts w:hint="eastAsia"/>
          <w:sz w:val="16"/>
          <w:szCs w:val="16"/>
        </w:rPr>
        <w:t>20</w:t>
      </w:r>
      <w:r w:rsidRPr="00DB667C">
        <w:rPr>
          <w:rFonts w:hint="eastAsia"/>
          <w:sz w:val="16"/>
          <w:szCs w:val="16"/>
        </w:rPr>
        <w:t>日</w:t>
      </w:r>
      <w:r w:rsidRPr="00DB667C">
        <w:rPr>
          <w:sz w:val="16"/>
          <w:szCs w:val="16"/>
        </w:rPr>
        <w:t>1</w:t>
      </w:r>
      <w:r w:rsidRPr="00DB667C">
        <w:rPr>
          <w:rFonts w:hint="eastAsia"/>
          <w:sz w:val="16"/>
          <w:szCs w:val="16"/>
        </w:rPr>
        <w:t>12</w:t>
      </w:r>
      <w:r w:rsidRPr="00DB667C">
        <w:rPr>
          <w:rFonts w:hint="eastAsia"/>
          <w:sz w:val="16"/>
          <w:szCs w:val="16"/>
        </w:rPr>
        <w:t>學年度第</w:t>
      </w:r>
      <w:r w:rsidRPr="00DB667C">
        <w:rPr>
          <w:rFonts w:hint="eastAsia"/>
          <w:sz w:val="16"/>
          <w:szCs w:val="16"/>
        </w:rPr>
        <w:t>1</w:t>
      </w:r>
      <w:r w:rsidRPr="00DB667C">
        <w:rPr>
          <w:rFonts w:hint="eastAsia"/>
          <w:sz w:val="16"/>
          <w:szCs w:val="16"/>
        </w:rPr>
        <w:t>學期第</w:t>
      </w:r>
      <w:r>
        <w:rPr>
          <w:rFonts w:hint="eastAsia"/>
          <w:sz w:val="16"/>
          <w:szCs w:val="16"/>
        </w:rPr>
        <w:t>4</w:t>
      </w:r>
      <w:r w:rsidRPr="00DB667C">
        <w:rPr>
          <w:rFonts w:hint="eastAsia"/>
          <w:sz w:val="16"/>
          <w:szCs w:val="16"/>
        </w:rPr>
        <w:t>次系</w:t>
      </w:r>
      <w:proofErr w:type="gramStart"/>
      <w:r w:rsidRPr="00DB667C">
        <w:rPr>
          <w:rFonts w:hint="eastAsia"/>
          <w:sz w:val="16"/>
          <w:szCs w:val="16"/>
        </w:rPr>
        <w:t>務</w:t>
      </w:r>
      <w:proofErr w:type="gramEnd"/>
      <w:r w:rsidRPr="00DB667C">
        <w:rPr>
          <w:rFonts w:hint="eastAsia"/>
          <w:sz w:val="16"/>
          <w:szCs w:val="16"/>
        </w:rPr>
        <w:t>會議通過</w:t>
      </w:r>
    </w:p>
    <w:p w14:paraId="1355754A" w14:textId="44BDA66A" w:rsidR="00DB667C" w:rsidRPr="002E1E33" w:rsidRDefault="002E1E33" w:rsidP="00DB667C">
      <w:pPr>
        <w:snapToGrid w:val="0"/>
        <w:spacing w:line="240" w:lineRule="atLeast"/>
        <w:jc w:val="right"/>
        <w:rPr>
          <w:sz w:val="16"/>
          <w:szCs w:val="16"/>
        </w:rPr>
      </w:pPr>
      <w:r w:rsidRPr="002E1E33">
        <w:rPr>
          <w:rFonts w:hint="eastAsia"/>
          <w:sz w:val="16"/>
          <w:szCs w:val="16"/>
        </w:rPr>
        <w:t>113</w:t>
      </w:r>
      <w:r w:rsidRPr="002E1E33">
        <w:rPr>
          <w:rFonts w:hint="eastAsia"/>
          <w:sz w:val="16"/>
          <w:szCs w:val="16"/>
        </w:rPr>
        <w:t>年</w:t>
      </w:r>
      <w:r>
        <w:rPr>
          <w:sz w:val="16"/>
          <w:szCs w:val="16"/>
        </w:rPr>
        <w:t>1</w:t>
      </w:r>
      <w:r w:rsidRPr="002E1E33">
        <w:rPr>
          <w:rFonts w:hint="eastAsia"/>
          <w:sz w:val="16"/>
          <w:szCs w:val="16"/>
        </w:rPr>
        <w:t>月</w:t>
      </w:r>
      <w:r>
        <w:rPr>
          <w:sz w:val="16"/>
          <w:szCs w:val="16"/>
        </w:rPr>
        <w:t>2</w:t>
      </w:r>
      <w:r w:rsidRPr="002E1E33">
        <w:rPr>
          <w:rFonts w:hint="eastAsia"/>
          <w:sz w:val="16"/>
          <w:szCs w:val="16"/>
        </w:rPr>
        <w:t>日院長核定修訂</w:t>
      </w:r>
    </w:p>
    <w:p w14:paraId="298DAAC5" w14:textId="0684DD88" w:rsidR="00DB667C" w:rsidRPr="00DB667C" w:rsidRDefault="00DB667C" w:rsidP="00DB667C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依據「臺北市立大學理學院教師聘任及升等審查準則」</w:t>
      </w:r>
      <w:r w:rsidRPr="00DB667C">
        <w:rPr>
          <w:rFonts w:ascii="標楷體" w:eastAsia="標楷體" w:hAnsi="標楷體" w:hint="eastAsia"/>
          <w:b/>
          <w:bCs/>
          <w:kern w:val="0"/>
        </w:rPr>
        <w:t>(以下簡稱院準則)</w:t>
      </w:r>
      <w:r w:rsidRPr="00DB667C">
        <w:rPr>
          <w:rFonts w:ascii="標楷體" w:eastAsia="標楷體" w:hAnsi="標楷體" w:hint="eastAsia"/>
          <w:kern w:val="0"/>
        </w:rPr>
        <w:t>，訂定「臺北市立大學地球環境暨生物資源學系(含環境教育與資源碩士班)教師聘任與升等審查要點」</w:t>
      </w:r>
      <w:r w:rsidRPr="00DB667C">
        <w:rPr>
          <w:rFonts w:ascii="標楷體" w:eastAsia="標楷體" w:hAnsi="標楷體"/>
          <w:kern w:val="0"/>
        </w:rPr>
        <w:t>(</w:t>
      </w:r>
      <w:r w:rsidRPr="00DB667C">
        <w:rPr>
          <w:rFonts w:ascii="標楷體" w:eastAsia="標楷體" w:hAnsi="標楷體" w:hint="eastAsia"/>
          <w:kern w:val="0"/>
        </w:rPr>
        <w:t>以下簡稱本要點</w:t>
      </w:r>
      <w:r w:rsidRPr="00DB667C">
        <w:rPr>
          <w:rFonts w:ascii="標楷體" w:eastAsia="標楷體" w:hAnsi="標楷體"/>
          <w:kern w:val="0"/>
        </w:rPr>
        <w:t>)</w:t>
      </w:r>
      <w:r w:rsidRPr="00DB667C">
        <w:rPr>
          <w:rFonts w:ascii="標楷體" w:eastAsia="標楷體" w:hAnsi="標楷體" w:hint="eastAsia"/>
          <w:kern w:val="0"/>
        </w:rPr>
        <w:t>。</w:t>
      </w:r>
    </w:p>
    <w:p w14:paraId="0AA18683" w14:textId="11926F42" w:rsidR="00DB667C" w:rsidRPr="00DB667C" w:rsidRDefault="00DB667C" w:rsidP="00DB667C">
      <w:pPr>
        <w:pStyle w:val="a3"/>
        <w:widowControl/>
        <w:numPr>
          <w:ilvl w:val="0"/>
          <w:numId w:val="3"/>
        </w:numPr>
        <w:snapToGrid w:val="0"/>
        <w:spacing w:line="240" w:lineRule="atLeast"/>
        <w:ind w:leftChars="0"/>
      </w:pPr>
      <w:r w:rsidRPr="00DB667C">
        <w:rPr>
          <w:rFonts w:ascii="標楷體" w:eastAsia="標楷體" w:hAnsi="標楷體" w:hint="eastAsia"/>
          <w:bCs/>
        </w:rPr>
        <w:t>本系教師之初聘、續聘、停聘、</w:t>
      </w:r>
      <w:proofErr w:type="gramStart"/>
      <w:r w:rsidRPr="00DB667C">
        <w:rPr>
          <w:rFonts w:ascii="標楷體" w:eastAsia="標楷體" w:hAnsi="標楷體" w:hint="eastAsia"/>
          <w:bCs/>
        </w:rPr>
        <w:t>不</w:t>
      </w:r>
      <w:proofErr w:type="gramEnd"/>
      <w:r w:rsidRPr="00DB667C">
        <w:rPr>
          <w:rFonts w:ascii="標楷體" w:eastAsia="標楷體" w:hAnsi="標楷體" w:hint="eastAsia"/>
          <w:bCs/>
        </w:rPr>
        <w:t>續聘、解聘、資遣及升等之審議，除遵照教育部(局)有關法令規定外，悉依</w:t>
      </w:r>
      <w:r w:rsidRPr="00DB667C">
        <w:rPr>
          <w:rFonts w:ascii="標楷體" w:eastAsia="標楷體" w:hAnsi="標楷體" w:hint="eastAsia"/>
          <w:b/>
        </w:rPr>
        <w:t>「</w:t>
      </w:r>
      <w:r w:rsidRPr="00DB667C">
        <w:rPr>
          <w:rFonts w:ascii="標楷體" w:eastAsia="標楷體" w:hAnsi="標楷體" w:hint="eastAsia"/>
          <w:bCs/>
        </w:rPr>
        <w:t>本校教師聘任與升等評審辦法</w:t>
      </w:r>
      <w:r w:rsidRPr="00DB667C">
        <w:rPr>
          <w:rFonts w:ascii="微軟正黑體" w:eastAsia="微軟正黑體" w:hAnsi="微軟正黑體" w:hint="eastAsia"/>
          <w:b/>
        </w:rPr>
        <w:t>」</w:t>
      </w:r>
      <w:r w:rsidRPr="00DB667C">
        <w:rPr>
          <w:rFonts w:ascii="標楷體" w:eastAsia="標楷體" w:hAnsi="標楷體" w:hint="eastAsia"/>
          <w:bCs/>
        </w:rPr>
        <w:t>及院準則辦理。</w:t>
      </w:r>
    </w:p>
    <w:p w14:paraId="6531A9DA" w14:textId="30437862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proofErr w:type="gramStart"/>
      <w:r w:rsidRPr="00DB667C">
        <w:rPr>
          <w:rFonts w:ascii="標楷體" w:eastAsia="標楷體" w:hAnsi="標楷體" w:hint="eastAsia"/>
          <w:kern w:val="0"/>
        </w:rPr>
        <w:t>本系</w:t>
      </w:r>
      <w:r w:rsidRPr="00DB667C">
        <w:rPr>
          <w:rFonts w:ascii="標楷體" w:eastAsia="標楷體" w:hAnsi="標楷體"/>
          <w:kern w:val="0"/>
        </w:rPr>
        <w:t>初聘</w:t>
      </w:r>
      <w:proofErr w:type="gramEnd"/>
      <w:r w:rsidRPr="00DB667C">
        <w:rPr>
          <w:rFonts w:ascii="標楷體" w:eastAsia="標楷體" w:hAnsi="標楷體"/>
          <w:kern w:val="0"/>
        </w:rPr>
        <w:t>專任</w:t>
      </w:r>
      <w:r w:rsidRPr="00DB667C">
        <w:rPr>
          <w:rFonts w:ascii="標楷體" w:eastAsia="標楷體" w:hAnsi="標楷體" w:hint="eastAsia"/>
          <w:kern w:val="0"/>
        </w:rPr>
        <w:t>教師依下列規定辦理</w:t>
      </w:r>
    </w:p>
    <w:p w14:paraId="71D5E467" w14:textId="377643B3" w:rsidR="00DB667C" w:rsidRPr="00DB667C" w:rsidRDefault="00DB667C" w:rsidP="00DB667C">
      <w:pPr>
        <w:pStyle w:val="a3"/>
        <w:numPr>
          <w:ilvl w:val="1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教師之聘任員額、</w:t>
      </w:r>
      <w:r w:rsidRPr="00DB667C">
        <w:rPr>
          <w:rFonts w:ascii="標楷體" w:eastAsia="標楷體" w:hAnsi="標楷體"/>
          <w:kern w:val="0"/>
        </w:rPr>
        <w:t>專長領域</w:t>
      </w:r>
      <w:r w:rsidRPr="00DB667C">
        <w:rPr>
          <w:rFonts w:ascii="標楷體" w:eastAsia="標楷體" w:hAnsi="標楷體" w:hint="eastAsia"/>
          <w:kern w:val="0"/>
        </w:rPr>
        <w:t>應由系</w:t>
      </w:r>
      <w:proofErr w:type="gramStart"/>
      <w:r w:rsidRPr="00DB667C">
        <w:rPr>
          <w:rFonts w:ascii="標楷體" w:eastAsia="標楷體" w:hAnsi="標楷體" w:hint="eastAsia"/>
          <w:kern w:val="0"/>
        </w:rPr>
        <w:t>務</w:t>
      </w:r>
      <w:proofErr w:type="gramEnd"/>
      <w:r w:rsidRPr="00DB667C">
        <w:rPr>
          <w:rFonts w:ascii="標楷體" w:eastAsia="標楷體" w:hAnsi="標楷體" w:hint="eastAsia"/>
          <w:kern w:val="0"/>
        </w:rPr>
        <w:t>會議依實際需要決定，</w:t>
      </w:r>
      <w:r w:rsidRPr="00DB667C">
        <w:rPr>
          <w:rFonts w:ascii="標楷體" w:eastAsia="標楷體" w:hAnsi="標楷體"/>
          <w:kern w:val="0"/>
        </w:rPr>
        <w:t>依校辦法第一章辦理</w:t>
      </w:r>
      <w:r w:rsidRPr="00DB667C">
        <w:rPr>
          <w:rFonts w:ascii="標楷體" w:eastAsia="標楷體" w:hAnsi="標楷體" w:hint="eastAsia"/>
          <w:kern w:val="0"/>
        </w:rPr>
        <w:t>，由人事室統籌徵求，再經系教評會審議。</w:t>
      </w:r>
    </w:p>
    <w:p w14:paraId="35A83FBA" w14:textId="3F5D5DF6" w:rsidR="00DB667C" w:rsidRPr="00DB667C" w:rsidRDefault="00DB667C" w:rsidP="00DB667C">
      <w:pPr>
        <w:pStyle w:val="a3"/>
        <w:numPr>
          <w:ilvl w:val="1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/>
          <w:kern w:val="0"/>
        </w:rPr>
        <w:t>初</w:t>
      </w:r>
      <w:r w:rsidRPr="00DB667C">
        <w:rPr>
          <w:rFonts w:ascii="標楷體" w:eastAsia="標楷體" w:hAnsi="標楷體" w:hint="eastAsia"/>
          <w:kern w:val="0"/>
        </w:rPr>
        <w:t>聘</w:t>
      </w:r>
      <w:r w:rsidRPr="00DB667C">
        <w:rPr>
          <w:rFonts w:ascii="標楷體" w:eastAsia="標楷體" w:hAnsi="標楷體"/>
          <w:kern w:val="0"/>
        </w:rPr>
        <w:t>專任</w:t>
      </w:r>
      <w:r w:rsidRPr="00DB667C">
        <w:rPr>
          <w:rFonts w:ascii="標楷體" w:eastAsia="標楷體" w:hAnsi="標楷體" w:hint="eastAsia"/>
          <w:kern w:val="0"/>
        </w:rPr>
        <w:t>教師之資格除應符合有關規定外，應參酌其學歷、經歷，及教學、研究、服務成績加以評審之，其評審標準由系教評會委員訂定之。</w:t>
      </w:r>
    </w:p>
    <w:p w14:paraId="12A1833D" w14:textId="51FFBB70" w:rsidR="00DB667C" w:rsidRPr="00DB667C" w:rsidRDefault="00DB667C" w:rsidP="00DB667C">
      <w:pPr>
        <w:pStyle w:val="a3"/>
        <w:numPr>
          <w:ilvl w:val="1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proofErr w:type="gramStart"/>
      <w:r w:rsidRPr="00DB667C">
        <w:rPr>
          <w:rFonts w:ascii="標楷體" w:eastAsia="標楷體" w:hAnsi="標楷體" w:hint="eastAsia"/>
          <w:kern w:val="0"/>
        </w:rPr>
        <w:t>本系</w:t>
      </w:r>
      <w:r w:rsidRPr="00DB667C">
        <w:rPr>
          <w:rFonts w:ascii="標楷體" w:eastAsia="標楷體" w:hAnsi="標楷體"/>
        </w:rPr>
        <w:t>初聘</w:t>
      </w:r>
      <w:proofErr w:type="gramEnd"/>
      <w:r w:rsidRPr="00DB667C">
        <w:rPr>
          <w:rFonts w:ascii="標楷體" w:eastAsia="標楷體" w:hAnsi="標楷體"/>
        </w:rPr>
        <w:t>專任</w:t>
      </w:r>
      <w:r w:rsidRPr="00DB667C">
        <w:rPr>
          <w:rFonts w:ascii="標楷體" w:eastAsia="標楷體" w:hAnsi="標楷體" w:hint="eastAsia"/>
          <w:kern w:val="0"/>
        </w:rPr>
        <w:t>教師分為初審、</w:t>
      </w:r>
      <w:proofErr w:type="gramStart"/>
      <w:r w:rsidRPr="00DB667C">
        <w:rPr>
          <w:rFonts w:ascii="標楷體" w:eastAsia="標楷體" w:hAnsi="標楷體" w:hint="eastAsia"/>
          <w:kern w:val="0"/>
        </w:rPr>
        <w:t>複</w:t>
      </w:r>
      <w:proofErr w:type="gramEnd"/>
      <w:r w:rsidRPr="00DB667C">
        <w:rPr>
          <w:rFonts w:ascii="標楷體" w:eastAsia="標楷體" w:hAnsi="標楷體" w:hint="eastAsia"/>
          <w:kern w:val="0"/>
        </w:rPr>
        <w:t>審及決審階段，教師之聘任依本系聘用</w:t>
      </w:r>
      <w:r w:rsidRPr="00DB667C">
        <w:rPr>
          <w:rFonts w:ascii="標楷體" w:eastAsia="標楷體" w:hAnsi="標楷體"/>
          <w:kern w:val="0"/>
        </w:rPr>
        <w:t>初</w:t>
      </w:r>
      <w:r w:rsidRPr="00DB667C">
        <w:rPr>
          <w:rFonts w:ascii="標楷體" w:eastAsia="標楷體" w:hAnsi="標楷體" w:hint="eastAsia"/>
          <w:kern w:val="0"/>
        </w:rPr>
        <w:t>聘</w:t>
      </w:r>
      <w:r w:rsidRPr="00DB667C">
        <w:rPr>
          <w:rFonts w:ascii="標楷體" w:eastAsia="標楷體" w:hAnsi="標楷體"/>
          <w:kern w:val="0"/>
        </w:rPr>
        <w:t>專任</w:t>
      </w:r>
      <w:r w:rsidRPr="00DB667C">
        <w:rPr>
          <w:rFonts w:ascii="標楷體" w:eastAsia="標楷體" w:hAnsi="標楷體" w:hint="eastAsia"/>
          <w:kern w:val="0"/>
        </w:rPr>
        <w:t>教師辦理原則辦理，系教評會應邀請應徵專任教師之當事人做學術演講</w:t>
      </w:r>
      <w:r w:rsidRPr="00DB667C">
        <w:rPr>
          <w:rFonts w:ascii="標楷體" w:eastAsia="標楷體" w:hAnsi="標楷體"/>
        </w:rPr>
        <w:t>、教學演示或面談</w:t>
      </w:r>
      <w:r w:rsidRPr="00DB667C">
        <w:rPr>
          <w:rFonts w:ascii="標楷體" w:eastAsia="標楷體" w:hAnsi="標楷體" w:hint="eastAsia"/>
          <w:kern w:val="0"/>
        </w:rPr>
        <w:t>，並以無記名投票方式，逐一投票，以獲得出席委員</w:t>
      </w:r>
      <w:r w:rsidRPr="00DB667C">
        <w:rPr>
          <w:rFonts w:ascii="標楷體" w:eastAsia="標楷體" w:hAnsi="標楷體"/>
        </w:rPr>
        <w:t>二分之一</w:t>
      </w:r>
      <w:proofErr w:type="gramStart"/>
      <w:r w:rsidRPr="00DB667C">
        <w:rPr>
          <w:rFonts w:ascii="標楷體" w:eastAsia="標楷體" w:hAnsi="標楷體"/>
        </w:rPr>
        <w:t>以上</w:t>
      </w:r>
      <w:r w:rsidRPr="00DB667C">
        <w:rPr>
          <w:rFonts w:ascii="標楷體" w:eastAsia="標楷體" w:hAnsi="標楷體" w:hint="eastAsia"/>
          <w:kern w:val="0"/>
        </w:rPr>
        <w:t>以上</w:t>
      </w:r>
      <w:proofErr w:type="gramEnd"/>
      <w:r w:rsidRPr="00DB667C">
        <w:rPr>
          <w:rFonts w:ascii="標楷體" w:eastAsia="標楷體" w:hAnsi="標楷體" w:hint="eastAsia"/>
          <w:kern w:val="0"/>
        </w:rPr>
        <w:t>同意票為通過，再以得票多寡決定之。</w:t>
      </w:r>
    </w:p>
    <w:p w14:paraId="59346545" w14:textId="567544A0" w:rsidR="00DB667C" w:rsidRPr="00DB667C" w:rsidRDefault="00DB667C" w:rsidP="00DB667C">
      <w:pPr>
        <w:pStyle w:val="a3"/>
        <w:numPr>
          <w:ilvl w:val="1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/>
        </w:rPr>
        <w:t>初聘</w:t>
      </w:r>
      <w:r w:rsidRPr="00DB667C">
        <w:rPr>
          <w:rFonts w:ascii="標楷體" w:eastAsia="標楷體" w:hAnsi="標楷體" w:hint="eastAsia"/>
          <w:kern w:val="0"/>
        </w:rPr>
        <w:t>專任教師之聘任，系教評會初審決議人選得加倍提名。獲提名之應聘教師，如未持有教育部核發之教師證書，須先檢具學歷證件及學位論文，由本系一次送五位校外學者專家評審，若其中四位評審成績在七十分以上者為及格，否則為不及格。審查人不得</w:t>
      </w:r>
      <w:proofErr w:type="gramStart"/>
      <w:r w:rsidRPr="00DB667C">
        <w:rPr>
          <w:rFonts w:ascii="標楷體" w:eastAsia="標楷體" w:hAnsi="標楷體" w:hint="eastAsia"/>
          <w:kern w:val="0"/>
        </w:rPr>
        <w:t>低階高審</w:t>
      </w:r>
      <w:proofErr w:type="gramEnd"/>
      <w:r w:rsidRPr="00DB667C">
        <w:rPr>
          <w:rFonts w:ascii="標楷體" w:eastAsia="標楷體" w:hAnsi="標楷體" w:hint="eastAsia"/>
          <w:kern w:val="0"/>
        </w:rPr>
        <w:t>。外審</w:t>
      </w:r>
      <w:proofErr w:type="gramStart"/>
      <w:r w:rsidRPr="00DB667C">
        <w:rPr>
          <w:rFonts w:ascii="標楷體" w:eastAsia="標楷體" w:hAnsi="標楷體" w:hint="eastAsia"/>
          <w:kern w:val="0"/>
        </w:rPr>
        <w:t>結果提系教</w:t>
      </w:r>
      <w:proofErr w:type="gramEnd"/>
      <w:r w:rsidRPr="00DB667C">
        <w:rPr>
          <w:rFonts w:ascii="標楷體" w:eastAsia="標楷體" w:hAnsi="標楷體" w:hint="eastAsia"/>
          <w:kern w:val="0"/>
        </w:rPr>
        <w:t>評會審查後，</w:t>
      </w:r>
      <w:proofErr w:type="gramStart"/>
      <w:r w:rsidRPr="00DB667C">
        <w:rPr>
          <w:rFonts w:ascii="標楷體" w:eastAsia="標楷體" w:hAnsi="標楷體" w:hint="eastAsia"/>
          <w:kern w:val="0"/>
        </w:rPr>
        <w:t>彙提院</w:t>
      </w:r>
      <w:proofErr w:type="gramEnd"/>
      <w:r w:rsidRPr="00DB667C">
        <w:rPr>
          <w:rFonts w:ascii="標楷體" w:eastAsia="標楷體" w:hAnsi="標楷體" w:hint="eastAsia"/>
          <w:kern w:val="0"/>
        </w:rPr>
        <w:t>教評會</w:t>
      </w:r>
      <w:proofErr w:type="gramStart"/>
      <w:r w:rsidRPr="00DB667C">
        <w:rPr>
          <w:rFonts w:ascii="標楷體" w:eastAsia="標楷體" w:hAnsi="標楷體" w:hint="eastAsia"/>
          <w:kern w:val="0"/>
        </w:rPr>
        <w:t>複</w:t>
      </w:r>
      <w:proofErr w:type="gramEnd"/>
      <w:r w:rsidRPr="00DB667C">
        <w:rPr>
          <w:rFonts w:ascii="標楷體" w:eastAsia="標楷體" w:hAnsi="標楷體" w:hint="eastAsia"/>
          <w:kern w:val="0"/>
        </w:rPr>
        <w:t>審。</w:t>
      </w:r>
    </w:p>
    <w:p w14:paraId="2A6AFB65" w14:textId="2D99738A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本系專任教師升等之審查，</w:t>
      </w:r>
      <w:r w:rsidRPr="00DB667C">
        <w:rPr>
          <w:rFonts w:ascii="標楷體" w:eastAsia="標楷體" w:hAnsi="標楷體"/>
          <w:kern w:val="0"/>
        </w:rPr>
        <w:t>依院準則</w:t>
      </w:r>
      <w:r w:rsidRPr="00DB667C">
        <w:rPr>
          <w:rFonts w:ascii="標楷體" w:eastAsia="標楷體" w:hAnsi="標楷體" w:hint="eastAsia"/>
          <w:kern w:val="0"/>
        </w:rPr>
        <w:t>第二章第四條與第五條</w:t>
      </w:r>
      <w:r w:rsidRPr="00DB667C">
        <w:rPr>
          <w:rFonts w:ascii="標楷體" w:eastAsia="標楷體" w:hAnsi="標楷體"/>
          <w:kern w:val="0"/>
        </w:rPr>
        <w:t>之規定辦理</w:t>
      </w:r>
      <w:r w:rsidRPr="00DB667C">
        <w:rPr>
          <w:rFonts w:ascii="標楷體" w:eastAsia="標楷體" w:hAnsi="標楷體" w:hint="eastAsia"/>
          <w:kern w:val="0"/>
        </w:rPr>
        <w:t>，程序如下：</w:t>
      </w:r>
    </w:p>
    <w:p w14:paraId="653B21CA" w14:textId="52517EF6" w:rsidR="00DB667C" w:rsidRPr="00DB667C" w:rsidRDefault="00DB667C" w:rsidP="00DB667C">
      <w:pPr>
        <w:pStyle w:val="a3"/>
        <w:numPr>
          <w:ilvl w:val="1"/>
          <w:numId w:val="3"/>
        </w:numPr>
        <w:tabs>
          <w:tab w:val="left" w:pos="574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升等之教師依本校規定之日期，</w:t>
      </w:r>
      <w:r w:rsidRPr="00DB667C">
        <w:rPr>
          <w:rFonts w:ascii="標楷體" w:eastAsia="標楷體" w:hAnsi="標楷體"/>
        </w:rPr>
        <w:t>將相關資料</w:t>
      </w:r>
      <w:r w:rsidRPr="00DB667C">
        <w:rPr>
          <w:rFonts w:ascii="標楷體" w:eastAsia="標楷體" w:hAnsi="標楷體" w:hint="eastAsia"/>
          <w:kern w:val="0"/>
        </w:rPr>
        <w:t>向本系提出書面申請。</w:t>
      </w:r>
    </w:p>
    <w:p w14:paraId="5EA8A312" w14:textId="3FC0903E" w:rsidR="00DB667C" w:rsidRPr="00DB667C" w:rsidRDefault="00DB667C" w:rsidP="00DB667C">
      <w:pPr>
        <w:pStyle w:val="a3"/>
        <w:numPr>
          <w:ilvl w:val="1"/>
          <w:numId w:val="3"/>
        </w:numPr>
        <w:tabs>
          <w:tab w:val="left" w:pos="574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經系教評會</w:t>
      </w:r>
      <w:r w:rsidRPr="00DB667C">
        <w:rPr>
          <w:rFonts w:ascii="標楷體" w:eastAsia="標楷體" w:hAnsi="標楷體"/>
          <w:kern w:val="0"/>
        </w:rPr>
        <w:t>依院準則所定之標準與計分方式，進行送審人教學服務項目之評分與送審著作之檢核，通過後送院教評會</w:t>
      </w:r>
      <w:proofErr w:type="gramStart"/>
      <w:r w:rsidRPr="00DB667C">
        <w:rPr>
          <w:rFonts w:ascii="標楷體" w:eastAsia="標楷體" w:hAnsi="標楷體"/>
          <w:kern w:val="0"/>
        </w:rPr>
        <w:t>複</w:t>
      </w:r>
      <w:proofErr w:type="gramEnd"/>
      <w:r w:rsidRPr="00DB667C">
        <w:rPr>
          <w:rFonts w:ascii="標楷體" w:eastAsia="標楷體" w:hAnsi="標楷體"/>
          <w:kern w:val="0"/>
        </w:rPr>
        <w:t>審</w:t>
      </w:r>
      <w:r w:rsidRPr="00DB667C">
        <w:rPr>
          <w:rFonts w:ascii="標楷體" w:eastAsia="標楷體" w:hAnsi="標楷體" w:hint="eastAsia"/>
          <w:kern w:val="0"/>
        </w:rPr>
        <w:t>。</w:t>
      </w:r>
    </w:p>
    <w:p w14:paraId="2480F3BA" w14:textId="2A8D0C6D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本系兼任教師之聘任、升等之規定，</w:t>
      </w:r>
      <w:r w:rsidRPr="00DB667C">
        <w:rPr>
          <w:rFonts w:ascii="標楷體" w:eastAsia="標楷體" w:hAnsi="標楷體"/>
          <w:kern w:val="0"/>
        </w:rPr>
        <w:t>依院準則</w:t>
      </w:r>
      <w:r w:rsidRPr="00DB667C">
        <w:rPr>
          <w:rFonts w:ascii="標楷體" w:eastAsia="標楷體" w:hAnsi="標楷體" w:hint="eastAsia"/>
          <w:kern w:val="0"/>
        </w:rPr>
        <w:t>第二章</w:t>
      </w:r>
      <w:r w:rsidRPr="00DB667C">
        <w:rPr>
          <w:rFonts w:ascii="標楷體" w:eastAsia="標楷體" w:hAnsi="標楷體"/>
          <w:kern w:val="0"/>
        </w:rPr>
        <w:t>第</w:t>
      </w:r>
      <w:r w:rsidRPr="00DB667C">
        <w:rPr>
          <w:rFonts w:ascii="標楷體" w:eastAsia="標楷體" w:hAnsi="標楷體" w:hint="eastAsia"/>
          <w:kern w:val="0"/>
        </w:rPr>
        <w:t>六</w:t>
      </w:r>
      <w:r w:rsidRPr="00DB667C">
        <w:rPr>
          <w:rFonts w:ascii="標楷體" w:eastAsia="標楷體" w:hAnsi="標楷體"/>
          <w:kern w:val="0"/>
        </w:rPr>
        <w:t>條與第</w:t>
      </w:r>
      <w:r w:rsidRPr="00DB667C">
        <w:rPr>
          <w:rFonts w:ascii="標楷體" w:eastAsia="標楷體" w:hAnsi="標楷體" w:hint="eastAsia"/>
          <w:kern w:val="0"/>
        </w:rPr>
        <w:t>七</w:t>
      </w:r>
      <w:r w:rsidRPr="00DB667C">
        <w:rPr>
          <w:rFonts w:ascii="標楷體" w:eastAsia="標楷體" w:hAnsi="標楷體"/>
          <w:kern w:val="0"/>
        </w:rPr>
        <w:t>條規定辦</w:t>
      </w:r>
      <w:r w:rsidRPr="00DB667C">
        <w:rPr>
          <w:rFonts w:ascii="標楷體" w:eastAsia="標楷體" w:hAnsi="標楷體" w:hint="eastAsia"/>
          <w:kern w:val="0"/>
        </w:rPr>
        <w:t>理。</w:t>
      </w:r>
    </w:p>
    <w:p w14:paraId="2B0C34F3" w14:textId="79FA88A9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本系兼任教師</w:t>
      </w:r>
      <w:proofErr w:type="gramStart"/>
      <w:r w:rsidRPr="00DB667C">
        <w:rPr>
          <w:rFonts w:ascii="標楷體" w:eastAsia="標楷體" w:hAnsi="標楷體" w:hint="eastAsia"/>
          <w:kern w:val="0"/>
        </w:rPr>
        <w:t>之請證及</w:t>
      </w:r>
      <w:proofErr w:type="gramEnd"/>
      <w:r w:rsidRPr="00DB667C">
        <w:rPr>
          <w:rFonts w:ascii="標楷體" w:eastAsia="標楷體" w:hAnsi="標楷體" w:hint="eastAsia"/>
          <w:kern w:val="0"/>
        </w:rPr>
        <w:t>升等資格條件，</w:t>
      </w:r>
      <w:r w:rsidRPr="00DB667C">
        <w:rPr>
          <w:rFonts w:ascii="標楷體" w:eastAsia="標楷體" w:hAnsi="標楷體"/>
          <w:kern w:val="0"/>
        </w:rPr>
        <w:t>依院準則</w:t>
      </w:r>
      <w:r w:rsidRPr="00DB667C">
        <w:rPr>
          <w:rFonts w:ascii="標楷體" w:eastAsia="標楷體" w:hAnsi="標楷體" w:hint="eastAsia"/>
          <w:kern w:val="0"/>
        </w:rPr>
        <w:t>第二章</w:t>
      </w:r>
      <w:r w:rsidRPr="00DB667C">
        <w:rPr>
          <w:rFonts w:ascii="標楷體" w:eastAsia="標楷體" w:hAnsi="標楷體"/>
          <w:kern w:val="0"/>
        </w:rPr>
        <w:t>第</w:t>
      </w:r>
      <w:r w:rsidRPr="00DB667C">
        <w:rPr>
          <w:rFonts w:ascii="標楷體" w:eastAsia="標楷體" w:hAnsi="標楷體" w:hint="eastAsia"/>
          <w:kern w:val="0"/>
        </w:rPr>
        <w:t>七</w:t>
      </w:r>
      <w:r w:rsidRPr="00DB667C">
        <w:rPr>
          <w:rFonts w:ascii="標楷體" w:eastAsia="標楷體" w:hAnsi="標楷體"/>
          <w:kern w:val="0"/>
        </w:rPr>
        <w:t>條規定</w:t>
      </w:r>
      <w:r w:rsidRPr="00DB667C">
        <w:rPr>
          <w:rFonts w:ascii="標楷體" w:eastAsia="標楷體" w:hAnsi="標楷體" w:hint="eastAsia"/>
          <w:kern w:val="0"/>
        </w:rPr>
        <w:t>辦理。惟須為本校辦理學術或教學相關活動至少二次</w:t>
      </w:r>
      <w:proofErr w:type="gramStart"/>
      <w:r w:rsidRPr="00DB667C">
        <w:rPr>
          <w:rFonts w:ascii="標楷體" w:eastAsia="標楷體" w:hAnsi="標楷體" w:hint="eastAsia"/>
          <w:kern w:val="0"/>
        </w:rPr>
        <w:t>並送系教</w:t>
      </w:r>
      <w:proofErr w:type="gramEnd"/>
      <w:r w:rsidRPr="00DB667C">
        <w:rPr>
          <w:rFonts w:ascii="標楷體" w:eastAsia="標楷體" w:hAnsi="標楷體" w:hint="eastAsia"/>
          <w:kern w:val="0"/>
        </w:rPr>
        <w:t>評會初審時認定之。</w:t>
      </w:r>
    </w:p>
    <w:p w14:paraId="77759DD6" w14:textId="261B7E2D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本系研究人員及專業技術人員之聘任及升等程序,比照院準則第三章第八條辦理。</w:t>
      </w:r>
    </w:p>
    <w:p w14:paraId="42032913" w14:textId="126B61FB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本要點所需表單依院準則核定表單辦理。</w:t>
      </w:r>
    </w:p>
    <w:p w14:paraId="0E302132" w14:textId="6D5CEFC6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/>
          <w:kern w:val="0"/>
        </w:rPr>
        <w:t>本要點</w:t>
      </w:r>
      <w:r w:rsidRPr="00DB667C">
        <w:rPr>
          <w:rFonts w:ascii="標楷體" w:eastAsia="標楷體" w:hAnsi="標楷體" w:hint="eastAsia"/>
          <w:kern w:val="0"/>
        </w:rPr>
        <w:t>如有未盡事宜，</w:t>
      </w:r>
      <w:r w:rsidRPr="00DB667C">
        <w:rPr>
          <w:rFonts w:ascii="標楷體" w:eastAsia="標楷體" w:hAnsi="標楷體"/>
        </w:rPr>
        <w:t>悉依相關規定辦理</w:t>
      </w:r>
      <w:r w:rsidRPr="00DB667C">
        <w:rPr>
          <w:rFonts w:ascii="標楷體" w:eastAsia="標楷體" w:hAnsi="標楷體" w:hint="eastAsia"/>
          <w:kern w:val="0"/>
        </w:rPr>
        <w:t>。</w:t>
      </w:r>
    </w:p>
    <w:p w14:paraId="44B62543" w14:textId="2FC52F87" w:rsidR="00DB667C" w:rsidRPr="00DB667C" w:rsidRDefault="00DB667C" w:rsidP="00DB667C">
      <w:pPr>
        <w:pStyle w:val="a3"/>
        <w:numPr>
          <w:ilvl w:val="0"/>
          <w:numId w:val="3"/>
        </w:numPr>
        <w:tabs>
          <w:tab w:val="left" w:pos="709"/>
        </w:tabs>
        <w:snapToGrid w:val="0"/>
        <w:spacing w:line="240" w:lineRule="atLeast"/>
        <w:ind w:leftChars="0"/>
        <w:jc w:val="both"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 w:hint="eastAsia"/>
          <w:kern w:val="0"/>
        </w:rPr>
        <w:t>本</w:t>
      </w:r>
      <w:bookmarkStart w:id="0" w:name="_Hlk154582383"/>
      <w:r w:rsidRPr="00DB667C">
        <w:rPr>
          <w:rFonts w:ascii="標楷體" w:eastAsia="標楷體" w:hAnsi="標楷體" w:hint="eastAsia"/>
          <w:kern w:val="0"/>
        </w:rPr>
        <w:t>要點經系</w:t>
      </w:r>
      <w:proofErr w:type="gramStart"/>
      <w:r w:rsidRPr="00DB667C">
        <w:rPr>
          <w:rFonts w:ascii="標楷體" w:eastAsia="標楷體" w:hAnsi="標楷體" w:hint="eastAsia"/>
          <w:kern w:val="0"/>
        </w:rPr>
        <w:t>務</w:t>
      </w:r>
      <w:proofErr w:type="gramEnd"/>
      <w:r w:rsidRPr="00DB667C">
        <w:rPr>
          <w:rFonts w:ascii="標楷體" w:eastAsia="標楷體" w:hAnsi="標楷體" w:hint="eastAsia"/>
          <w:kern w:val="0"/>
        </w:rPr>
        <w:t>會議通過，陳請院長核定並送人事室備案後實施</w:t>
      </w:r>
      <w:bookmarkEnd w:id="0"/>
      <w:r w:rsidRPr="00DB667C">
        <w:rPr>
          <w:rFonts w:ascii="標楷體" w:eastAsia="標楷體" w:hAnsi="標楷體" w:hint="eastAsia"/>
          <w:kern w:val="0"/>
        </w:rPr>
        <w:t>，修正時亦同。</w:t>
      </w:r>
    </w:p>
    <w:p w14:paraId="3ABD2962" w14:textId="06BF7048" w:rsidR="00DB667C" w:rsidRPr="00DB667C" w:rsidRDefault="00DB667C">
      <w:pPr>
        <w:widowControl/>
        <w:rPr>
          <w:rFonts w:ascii="標楷體" w:eastAsia="標楷體" w:hAnsi="標楷體"/>
          <w:kern w:val="0"/>
        </w:rPr>
      </w:pPr>
      <w:r w:rsidRPr="00DB667C">
        <w:rPr>
          <w:rFonts w:ascii="標楷體" w:eastAsia="標楷體" w:hAnsi="標楷體"/>
          <w:kern w:val="0"/>
        </w:rPr>
        <w:br w:type="page"/>
      </w:r>
    </w:p>
    <w:p w14:paraId="79431D4B" w14:textId="49B6B235" w:rsidR="00DB667C" w:rsidRDefault="00DB667C" w:rsidP="00DB667C">
      <w:pPr>
        <w:tabs>
          <w:tab w:val="left" w:pos="709"/>
        </w:tabs>
        <w:snapToGrid w:val="0"/>
        <w:spacing w:line="240" w:lineRule="atLeast"/>
        <w:jc w:val="both"/>
        <w:rPr>
          <w:rFonts w:ascii="標楷體" w:eastAsia="標楷體" w:hAnsi="標楷體"/>
          <w:kern w:val="0"/>
        </w:rPr>
      </w:pPr>
      <w:r>
        <w:rPr>
          <w:noProof/>
        </w:rPr>
        <w:lastRenderedPageBreak/>
        <w:drawing>
          <wp:inline distT="0" distB="0" distL="0" distR="0" wp14:anchorId="00DF7506" wp14:editId="3D6CE881">
            <wp:extent cx="5288280" cy="6987327"/>
            <wp:effectExtent l="0" t="0" r="762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469" cy="699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9569E" w14:textId="655BCAD3" w:rsidR="00DB667C" w:rsidRDefault="00DB667C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14:paraId="0D81005F" w14:textId="2762F0AA" w:rsidR="00DB667C" w:rsidRPr="00DB667C" w:rsidRDefault="00DB667C" w:rsidP="00DB667C">
      <w:pPr>
        <w:tabs>
          <w:tab w:val="left" w:pos="709"/>
        </w:tabs>
        <w:snapToGrid w:val="0"/>
        <w:spacing w:line="240" w:lineRule="atLeast"/>
        <w:jc w:val="both"/>
        <w:rPr>
          <w:rFonts w:ascii="標楷體" w:eastAsia="標楷體" w:hAnsi="標楷體"/>
          <w:kern w:val="0"/>
        </w:rPr>
      </w:pPr>
      <w:r w:rsidRPr="00DB667C">
        <w:rPr>
          <w:noProof/>
        </w:rPr>
        <w:lastRenderedPageBreak/>
        <w:drawing>
          <wp:inline distT="0" distB="0" distL="0" distR="0" wp14:anchorId="19B780AD" wp14:editId="7FED4EF3">
            <wp:extent cx="5288280" cy="8048392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139" cy="80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67C" w:rsidRPr="00DB6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0C60" w14:textId="77777777" w:rsidR="002E1E33" w:rsidRDefault="002E1E33" w:rsidP="002E1E33">
      <w:r>
        <w:separator/>
      </w:r>
    </w:p>
  </w:endnote>
  <w:endnote w:type="continuationSeparator" w:id="0">
    <w:p w14:paraId="25713DBD" w14:textId="77777777" w:rsidR="002E1E33" w:rsidRDefault="002E1E33" w:rsidP="002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7F41" w14:textId="77777777" w:rsidR="002E1E33" w:rsidRDefault="002E1E33" w:rsidP="002E1E33">
      <w:r>
        <w:separator/>
      </w:r>
    </w:p>
  </w:footnote>
  <w:footnote w:type="continuationSeparator" w:id="0">
    <w:p w14:paraId="464A8CC5" w14:textId="77777777" w:rsidR="002E1E33" w:rsidRDefault="002E1E33" w:rsidP="002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E66"/>
    <w:multiLevelType w:val="hybridMultilevel"/>
    <w:tmpl w:val="9E1E6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5F80B8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3378AC"/>
    <w:multiLevelType w:val="hybridMultilevel"/>
    <w:tmpl w:val="0C3468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75FF1"/>
    <w:multiLevelType w:val="hybridMultilevel"/>
    <w:tmpl w:val="E3CEFFCC"/>
    <w:lvl w:ilvl="0" w:tplc="D3BA264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5394B7AE">
      <w:start w:val="1"/>
      <w:numFmt w:val="taiwaneseCountingThousand"/>
      <w:lvlText w:val="(%2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 w:tplc="483A4E1E">
      <w:start w:val="1"/>
      <w:numFmt w:val="decimal"/>
      <w:lvlText w:val="(%3)"/>
      <w:lvlJc w:val="left"/>
      <w:pPr>
        <w:tabs>
          <w:tab w:val="num" w:pos="1277"/>
        </w:tabs>
        <w:ind w:left="1637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98654291">
    <w:abstractNumId w:val="1"/>
  </w:num>
  <w:num w:numId="2" w16cid:durableId="668022850">
    <w:abstractNumId w:val="2"/>
  </w:num>
  <w:num w:numId="3" w16cid:durableId="30555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C"/>
    <w:rsid w:val="002E1E33"/>
    <w:rsid w:val="00517997"/>
    <w:rsid w:val="007D0504"/>
    <w:rsid w:val="007E35BD"/>
    <w:rsid w:val="00A20F1E"/>
    <w:rsid w:val="00D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D97E5"/>
  <w15:chartTrackingRefBased/>
  <w15:docId w15:val="{3EB9D446-94BC-4F81-B9E4-1559714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7C"/>
    <w:pPr>
      <w:ind w:leftChars="200" w:left="480"/>
    </w:pPr>
  </w:style>
  <w:style w:type="paragraph" w:customStyle="1" w:styleId="a4">
    <w:name w:val="寄件地址２"/>
    <w:basedOn w:val="a"/>
    <w:rsid w:val="00DB667C"/>
    <w:pPr>
      <w:adjustRightInd w:val="0"/>
      <w:spacing w:line="360" w:lineRule="atLeast"/>
    </w:pPr>
    <w:rPr>
      <w:kern w:val="0"/>
      <w:szCs w:val="20"/>
    </w:rPr>
  </w:style>
  <w:style w:type="paragraph" w:customStyle="1" w:styleId="Default">
    <w:name w:val="Default"/>
    <w:rsid w:val="00DB66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E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1E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1E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</dc:creator>
  <cp:keywords/>
  <dc:description/>
  <cp:lastModifiedBy>Cynthia Chen</cp:lastModifiedBy>
  <cp:revision>2</cp:revision>
  <dcterms:created xsi:type="dcterms:W3CDTF">2025-01-06T15:15:00Z</dcterms:created>
  <dcterms:modified xsi:type="dcterms:W3CDTF">2025-01-06T15:15:00Z</dcterms:modified>
</cp:coreProperties>
</file>